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0A078" w14:textId="77777777" w:rsidR="005B46C1" w:rsidRDefault="005B46C1" w:rsidP="00C329D7">
      <w:pPr>
        <w:pStyle w:val="h1chapter"/>
        <w:rPr>
          <w:rFonts w:ascii="Book Antiqua" w:hAnsi="Book Antiqua"/>
          <w:sz w:val="28"/>
          <w:szCs w:val="28"/>
        </w:rPr>
      </w:pPr>
    </w:p>
    <w:p w14:paraId="00758518" w14:textId="2D5C42EF" w:rsidR="00C329D7" w:rsidRPr="005B46C1" w:rsidRDefault="00C329D7" w:rsidP="00C329D7">
      <w:pPr>
        <w:pStyle w:val="h1chapter"/>
        <w:rPr>
          <w:rFonts w:ascii="Book Antiqua" w:hAnsi="Book Antiqua"/>
          <w:b w:val="0"/>
          <w:bCs w:val="0"/>
          <w:sz w:val="28"/>
          <w:szCs w:val="28"/>
        </w:rPr>
      </w:pPr>
      <w:r w:rsidRPr="005B46C1">
        <w:rPr>
          <w:rFonts w:ascii="Book Antiqua" w:hAnsi="Book Antiqua"/>
          <w:sz w:val="28"/>
          <w:szCs w:val="28"/>
        </w:rPr>
        <w:t xml:space="preserve">Formularz informacyjny </w:t>
      </w:r>
    </w:p>
    <w:p w14:paraId="377F903C" w14:textId="77777777" w:rsidR="00C329D7" w:rsidRDefault="00C329D7" w:rsidP="00C329D7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33CD0F36" w14:textId="77777777" w:rsidR="00C329D7" w:rsidRPr="005B46C1" w:rsidRDefault="00C329D7" w:rsidP="00C329D7">
      <w:pPr>
        <w:pStyle w:val="pparinner"/>
        <w:rPr>
          <w:sz w:val="22"/>
          <w:szCs w:val="22"/>
        </w:rPr>
      </w:pPr>
      <w:r w:rsidRPr="005B46C1">
        <w:rPr>
          <w:sz w:val="22"/>
          <w:szCs w:val="22"/>
        </w:rPr>
        <w:t>Zaoferowane Państwu połączenie usług turystycznych stanowi imprezę turystyczną w rozumieniu dyrektywy (UE) 2015/2302.</w:t>
      </w:r>
    </w:p>
    <w:p w14:paraId="5CCD5F82" w14:textId="4B1693F0" w:rsidR="00C329D7" w:rsidRPr="005B46C1" w:rsidRDefault="00C329D7" w:rsidP="00C329D7">
      <w:pPr>
        <w:pStyle w:val="pparinner"/>
        <w:rPr>
          <w:sz w:val="22"/>
          <w:szCs w:val="22"/>
        </w:rPr>
      </w:pPr>
      <w:r w:rsidRPr="005B46C1">
        <w:rPr>
          <w:sz w:val="22"/>
          <w:szCs w:val="22"/>
        </w:rPr>
        <w:t>W związku z powyższym będą Państwu przysługiwały wszystkie prawa UE mające zastosowanie do imprez turystycznych. Przedsiębiorstwo</w:t>
      </w:r>
      <w:r w:rsidR="00FB491E" w:rsidRPr="005B46C1">
        <w:rPr>
          <w:sz w:val="22"/>
          <w:szCs w:val="22"/>
        </w:rPr>
        <w:t xml:space="preserve"> </w:t>
      </w:r>
      <w:r w:rsidR="00D225F1" w:rsidRPr="005B46C1">
        <w:rPr>
          <w:rFonts w:ascii="Arial Narrow" w:eastAsia="Times New Roman" w:hAnsi="Arial Narrow" w:cs="Tahoma"/>
          <w:sz w:val="22"/>
          <w:szCs w:val="22"/>
        </w:rPr>
        <w:t>Radosław Bajon “AnDa” (</w:t>
      </w:r>
      <w:r w:rsidR="00D225F1" w:rsidRPr="005B46C1">
        <w:rPr>
          <w:rFonts w:ascii="Arial Narrow" w:hAnsi="Arial Narrow" w:cs="Tahoma"/>
          <w:sz w:val="22"/>
          <w:szCs w:val="22"/>
        </w:rPr>
        <w:t>Rynek 25, 63-910 Miejska Górka)</w:t>
      </w:r>
      <w:r w:rsidR="00D225F1" w:rsidRPr="005B46C1">
        <w:rPr>
          <w:rFonts w:ascii="Arial Narrow" w:eastAsia="Times New Roman" w:hAnsi="Arial Narrow" w:cstheme="minorHAnsi"/>
          <w:spacing w:val="-7"/>
          <w:sz w:val="22"/>
          <w:szCs w:val="22"/>
          <w:shd w:val="clear" w:color="auto" w:fill="FFFFFF"/>
        </w:rPr>
        <w:t>,</w:t>
      </w:r>
      <w:r w:rsidR="00D225F1" w:rsidRPr="005B46C1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="00D225F1" w:rsidRPr="005B46C1">
        <w:rPr>
          <w:rFonts w:ascii="Arial Narrow" w:hAnsi="Arial Narrow" w:cs="Arial Narrow"/>
          <w:sz w:val="22"/>
          <w:szCs w:val="22"/>
        </w:rPr>
        <w:t>dalej:</w:t>
      </w:r>
      <w:r w:rsidR="00D225F1" w:rsidRPr="005B46C1">
        <w:rPr>
          <w:rFonts w:ascii="Arial Narrow" w:eastAsia="Times New Roman" w:hAnsi="Arial Narrow" w:cstheme="minorHAnsi"/>
          <w:spacing w:val="-7"/>
          <w:sz w:val="22"/>
          <w:szCs w:val="22"/>
          <w:shd w:val="clear" w:color="auto" w:fill="FFFFFF"/>
        </w:rPr>
        <w:t xml:space="preserve"> </w:t>
      </w:r>
      <w:r w:rsidR="00D225F1" w:rsidRPr="005B46C1">
        <w:rPr>
          <w:rFonts w:ascii="Arial Narrow" w:eastAsia="Times New Roman" w:hAnsi="Arial Narrow" w:cs="Tahoma"/>
          <w:sz w:val="22"/>
          <w:szCs w:val="22"/>
        </w:rPr>
        <w:t xml:space="preserve">“AnDa” </w:t>
      </w:r>
      <w:r w:rsidRPr="005B46C1">
        <w:rPr>
          <w:sz w:val="22"/>
          <w:szCs w:val="22"/>
        </w:rPr>
        <w:t>będzie</w:t>
      </w:r>
      <w:r w:rsidR="00FB491E" w:rsidRPr="005B46C1">
        <w:rPr>
          <w:sz w:val="22"/>
          <w:szCs w:val="22"/>
        </w:rPr>
        <w:t xml:space="preserve"> </w:t>
      </w:r>
      <w:r w:rsidRPr="005B46C1">
        <w:rPr>
          <w:sz w:val="22"/>
          <w:szCs w:val="22"/>
        </w:rPr>
        <w:t>ponosiło pełną odpowiedzialność za należytą realizację całości imprezy turystycznej.</w:t>
      </w:r>
    </w:p>
    <w:p w14:paraId="4DD5F6B6" w14:textId="3B176154" w:rsidR="00C329D7" w:rsidRPr="005B46C1" w:rsidRDefault="00C329D7" w:rsidP="00C329D7">
      <w:pPr>
        <w:pStyle w:val="pparinner"/>
        <w:rPr>
          <w:sz w:val="22"/>
          <w:szCs w:val="22"/>
        </w:rPr>
      </w:pPr>
      <w:r w:rsidRPr="005B46C1">
        <w:rPr>
          <w:sz w:val="22"/>
          <w:szCs w:val="22"/>
        </w:rPr>
        <w:t xml:space="preserve">Ponadto, zgodnie z wymogami prawa, przedsiębiorstwo </w:t>
      </w:r>
      <w:r w:rsidR="00D225F1" w:rsidRPr="005B46C1">
        <w:rPr>
          <w:rFonts w:ascii="Arial Narrow" w:eastAsia="Times New Roman" w:hAnsi="Arial Narrow" w:cs="Tahoma"/>
          <w:sz w:val="22"/>
          <w:szCs w:val="22"/>
        </w:rPr>
        <w:t xml:space="preserve">“AnDa” </w:t>
      </w:r>
      <w:r w:rsidRPr="005B46C1">
        <w:rPr>
          <w:sz w:val="22"/>
          <w:szCs w:val="22"/>
        </w:rPr>
        <w:t xml:space="preserve">posiada zabezpieczenie w celu zapewnienia zwrotu Państwu wpłat i, jeżeli transport jest elementem imprezy turystycznej, zapewnienia Państwa powrotu do kraju w przypadku, gdyby przedsiębiorstwo </w:t>
      </w:r>
      <w:r w:rsidR="00D225F1" w:rsidRPr="005B46C1">
        <w:rPr>
          <w:rFonts w:ascii="Arial Narrow" w:eastAsia="Times New Roman" w:hAnsi="Arial Narrow" w:cs="Tahoma"/>
          <w:sz w:val="22"/>
          <w:szCs w:val="22"/>
        </w:rPr>
        <w:t>“AnDa”</w:t>
      </w:r>
      <w:r w:rsidR="00193CEB" w:rsidRPr="005B46C1">
        <w:rPr>
          <w:rStyle w:val="Pogrubienie"/>
          <w:rFonts w:ascii="Arial Narrow" w:hAnsi="Arial Narrow"/>
          <w:color w:val="FF0000"/>
          <w:sz w:val="22"/>
          <w:szCs w:val="22"/>
        </w:rPr>
        <w:t xml:space="preserve"> </w:t>
      </w:r>
      <w:r w:rsidRPr="005B46C1">
        <w:rPr>
          <w:sz w:val="22"/>
          <w:szCs w:val="22"/>
        </w:rPr>
        <w:t>stało się niewypłacalne.</w:t>
      </w:r>
    </w:p>
    <w:p w14:paraId="246680F5" w14:textId="77777777" w:rsidR="00C329D7" w:rsidRPr="005B46C1" w:rsidRDefault="00C329D7" w:rsidP="00C329D7">
      <w:pPr>
        <w:pStyle w:val="pparinner"/>
        <w:rPr>
          <w:sz w:val="22"/>
          <w:szCs w:val="22"/>
        </w:rPr>
      </w:pPr>
      <w:r w:rsidRPr="005B46C1">
        <w:rPr>
          <w:sz w:val="22"/>
          <w:szCs w:val="22"/>
        </w:rPr>
        <w:t>Najważniejsze prawa zgodnie z dyrektywą (UE) 2015/2302</w:t>
      </w:r>
    </w:p>
    <w:p w14:paraId="0B6DEC82" w14:textId="77777777" w:rsidR="00C329D7" w:rsidRPr="005B46C1" w:rsidRDefault="00C329D7" w:rsidP="00C329D7">
      <w:pPr>
        <w:pStyle w:val="divpkt"/>
        <w:rPr>
          <w:sz w:val="22"/>
          <w:szCs w:val="22"/>
        </w:rPr>
      </w:pPr>
      <w:r w:rsidRPr="005B46C1">
        <w:rPr>
          <w:b/>
          <w:bCs/>
          <w:sz w:val="22"/>
          <w:szCs w:val="22"/>
        </w:rPr>
        <w:t xml:space="preserve"> - </w:t>
      </w:r>
      <w:r w:rsidRPr="005B46C1">
        <w:rPr>
          <w:sz w:val="22"/>
          <w:szCs w:val="22"/>
        </w:rPr>
        <w:t xml:space="preserve"> Przed zawarciem umowy o udział w imprezie turystycznej podróżni otrzymają wszystkie niezbędne informacje na temat imprezy turystycznej. </w:t>
      </w:r>
    </w:p>
    <w:p w14:paraId="1316DEDE" w14:textId="77777777" w:rsidR="00C329D7" w:rsidRPr="005B46C1" w:rsidRDefault="00C329D7" w:rsidP="00C329D7">
      <w:pPr>
        <w:pStyle w:val="divpkt"/>
        <w:rPr>
          <w:sz w:val="22"/>
          <w:szCs w:val="22"/>
        </w:rPr>
      </w:pPr>
      <w:r w:rsidRPr="005B46C1">
        <w:rPr>
          <w:b/>
          <w:bCs/>
          <w:sz w:val="22"/>
          <w:szCs w:val="22"/>
        </w:rPr>
        <w:t xml:space="preserve"> - </w:t>
      </w:r>
      <w:r w:rsidRPr="005B46C1">
        <w:rPr>
          <w:sz w:val="22"/>
          <w:szCs w:val="22"/>
        </w:rPr>
        <w:t xml:space="preserve"> Zawsze co najmniej jeden przedsiębiorca ponosi odpowiedzialność za należyte wykonanie wszystkich usług turystycznych objętych umową. </w:t>
      </w:r>
    </w:p>
    <w:p w14:paraId="6F70A17E" w14:textId="77777777" w:rsidR="00C329D7" w:rsidRPr="005B46C1" w:rsidRDefault="00C329D7" w:rsidP="00C329D7">
      <w:pPr>
        <w:pStyle w:val="divpkt"/>
        <w:rPr>
          <w:sz w:val="22"/>
          <w:szCs w:val="22"/>
        </w:rPr>
      </w:pPr>
      <w:r w:rsidRPr="005B46C1">
        <w:rPr>
          <w:b/>
          <w:bCs/>
          <w:sz w:val="22"/>
          <w:szCs w:val="22"/>
        </w:rPr>
        <w:t xml:space="preserve"> - </w:t>
      </w:r>
      <w:r w:rsidRPr="005B46C1">
        <w:rPr>
          <w:sz w:val="22"/>
          <w:szCs w:val="22"/>
        </w:rPr>
        <w:t xml:space="preserve"> Podróżni otrzymują awaryjny numer telefonu lub dane punktu kontaktowego, dzięki którym mogą skontaktować się z organizatorem turystyki lub agentem turystycznym. </w:t>
      </w:r>
    </w:p>
    <w:p w14:paraId="4EF05D7A" w14:textId="77777777" w:rsidR="00C329D7" w:rsidRPr="005B46C1" w:rsidRDefault="00C329D7" w:rsidP="00C329D7">
      <w:pPr>
        <w:pStyle w:val="divpkt"/>
        <w:rPr>
          <w:sz w:val="22"/>
          <w:szCs w:val="22"/>
        </w:rPr>
      </w:pPr>
      <w:r w:rsidRPr="005B46C1">
        <w:rPr>
          <w:b/>
          <w:bCs/>
          <w:sz w:val="22"/>
          <w:szCs w:val="22"/>
        </w:rPr>
        <w:t xml:space="preserve"> - </w:t>
      </w:r>
      <w:r w:rsidRPr="005B46C1">
        <w:rPr>
          <w:sz w:val="22"/>
          <w:szCs w:val="22"/>
        </w:rPr>
        <w:t xml:space="preserve"> Podróżni mogą przenieść imprezę turystyczną na inną osobę, powiadamiając o tym w rozsądnym terminie, z zastrzeżeniem ewentualnych dodatkowych kosztów. </w:t>
      </w:r>
    </w:p>
    <w:p w14:paraId="763EF127" w14:textId="77777777" w:rsidR="00C329D7" w:rsidRPr="005B46C1" w:rsidRDefault="00C329D7" w:rsidP="00C329D7">
      <w:pPr>
        <w:pStyle w:val="divpkt"/>
        <w:rPr>
          <w:sz w:val="22"/>
          <w:szCs w:val="22"/>
        </w:rPr>
      </w:pPr>
      <w:r w:rsidRPr="005B46C1">
        <w:rPr>
          <w:b/>
          <w:bCs/>
          <w:sz w:val="22"/>
          <w:szCs w:val="22"/>
        </w:rPr>
        <w:t xml:space="preserve"> - </w:t>
      </w:r>
      <w:r w:rsidRPr="005B46C1">
        <w:rPr>
          <w:sz w:val="22"/>
          <w:szCs w:val="22"/>
        </w:rPr>
        <w:t xml:space="preserve"> Cena imprezy turystycznej może zostać podwyższona jedynie wtedy, gdy wzrosną określone koszty (na przykład koszty paliwa) i zostało to wyraźnie przewidziane w umowie; w żadnym przypadku podwyżka ceny nie może nastąpić później niż 20 dni przed rozpoczęciem imprezy turystycznej. Jeżeli podwyżka ceny przekracza 8% ceny imprezy turystycznej, podróżny może rozwiązać umowę. Jeżeli organizator turystyki zastrzega sobie prawo do podwyższenia ceny, podróżny ma prawo do obniżki ceny, jeżeli obniżyły się odpowiednie koszty. </w:t>
      </w:r>
    </w:p>
    <w:p w14:paraId="67B64B38" w14:textId="77777777" w:rsidR="00C329D7" w:rsidRPr="005B46C1" w:rsidRDefault="00C329D7" w:rsidP="00C329D7">
      <w:pPr>
        <w:pStyle w:val="divpkt"/>
        <w:rPr>
          <w:sz w:val="22"/>
          <w:szCs w:val="22"/>
        </w:rPr>
      </w:pPr>
      <w:r w:rsidRPr="005B46C1">
        <w:rPr>
          <w:b/>
          <w:bCs/>
          <w:sz w:val="22"/>
          <w:szCs w:val="22"/>
        </w:rPr>
        <w:t xml:space="preserve"> - </w:t>
      </w:r>
      <w:r w:rsidRPr="005B46C1">
        <w:rPr>
          <w:sz w:val="22"/>
          <w:szCs w:val="22"/>
        </w:rPr>
        <w:t xml:space="preserve"> Podróżni mogą rozwiązać umowę bez ponoszenia jakiejkolwiek opłaty za rozwiązanie i uzyskać pełen zwrot wszelkich wpłat, jeżeli jeden z istotnych elementów imprezy turystycznej, inny niż cena, zmieni się w znaczący sposób. Jeżeli przedsiębiorca odpowiedzialny za imprezę turystyczną odwoła ją przed jej rozpoczęciem, podróżni mają prawo do zwrotu wpłat oraz w stosownych przypadkach do rekompensaty. </w:t>
      </w:r>
    </w:p>
    <w:p w14:paraId="57708C78" w14:textId="77777777" w:rsidR="00C329D7" w:rsidRPr="005B46C1" w:rsidRDefault="00C329D7" w:rsidP="00C329D7">
      <w:pPr>
        <w:pStyle w:val="divpkt"/>
        <w:rPr>
          <w:sz w:val="22"/>
          <w:szCs w:val="22"/>
        </w:rPr>
      </w:pPr>
      <w:r w:rsidRPr="005B46C1">
        <w:rPr>
          <w:b/>
          <w:bCs/>
          <w:sz w:val="22"/>
          <w:szCs w:val="22"/>
        </w:rPr>
        <w:t xml:space="preserve"> - </w:t>
      </w:r>
      <w:r w:rsidRPr="005B46C1">
        <w:rPr>
          <w:sz w:val="22"/>
          <w:szCs w:val="22"/>
        </w:rPr>
        <w:t xml:space="preserve"> W wyjątkowych okolicznościach - na przykład jeżeli w docelowym miejscu podróży występują poważne problemy związane z bezpieczeństwem, które mogą wpłynąć na imprezę turystyczną - podróżni mogą, przed rozpoczęciem imprezy turystycznej, rozwiązać umowę bez ponoszenia jakiejkolwiek opłaty za rozwiązanie. </w:t>
      </w:r>
    </w:p>
    <w:p w14:paraId="13C9AB5E" w14:textId="77777777" w:rsidR="00C329D7" w:rsidRPr="005B46C1" w:rsidRDefault="00C329D7" w:rsidP="00C329D7">
      <w:pPr>
        <w:pStyle w:val="divpkt"/>
        <w:rPr>
          <w:sz w:val="22"/>
          <w:szCs w:val="22"/>
        </w:rPr>
      </w:pPr>
      <w:r w:rsidRPr="005B46C1">
        <w:rPr>
          <w:b/>
          <w:bCs/>
          <w:sz w:val="22"/>
          <w:szCs w:val="22"/>
        </w:rPr>
        <w:t xml:space="preserve"> - </w:t>
      </w:r>
      <w:r w:rsidRPr="005B46C1">
        <w:rPr>
          <w:sz w:val="22"/>
          <w:szCs w:val="22"/>
        </w:rPr>
        <w:t xml:space="preserve"> Ponadto podróżni mogą w każdym momencie przed rozpoczęciem imprezy turystycznej rozwiązać umowę za odpowiednią i możliwą do uzasadnienia opłatą. </w:t>
      </w:r>
    </w:p>
    <w:p w14:paraId="3ABFEB79" w14:textId="77777777" w:rsidR="00C329D7" w:rsidRPr="005B46C1" w:rsidRDefault="00C329D7" w:rsidP="00C329D7">
      <w:pPr>
        <w:pStyle w:val="divpkt"/>
        <w:rPr>
          <w:sz w:val="22"/>
          <w:szCs w:val="22"/>
        </w:rPr>
      </w:pPr>
      <w:r w:rsidRPr="005B46C1">
        <w:rPr>
          <w:b/>
          <w:bCs/>
          <w:sz w:val="22"/>
          <w:szCs w:val="22"/>
        </w:rPr>
        <w:t xml:space="preserve"> - </w:t>
      </w:r>
      <w:r w:rsidRPr="005B46C1">
        <w:rPr>
          <w:sz w:val="22"/>
          <w:szCs w:val="22"/>
        </w:rPr>
        <w:t xml:space="preserve"> Jeżeli po rozpoczęciu imprezy turystycznej jej znaczące elementy nie mogą zostać zrealizowane zgodnie z umową, będą musiały zostać zaproponowane, bez dodatkowych kosztów, odpowiednie alternatywne usługi. W przypadku gdy usługi nie są świadczone zgodnie z umową, co istotnie wpływa na realizację imprezy turystycznej, a organizator turystyki nie zdoła usunąć problemu, podróżni mogą rozwiązać umowę bez opłaty za rozwiązanie. </w:t>
      </w:r>
    </w:p>
    <w:p w14:paraId="6FB94EE1" w14:textId="77777777" w:rsidR="00C329D7" w:rsidRPr="005B46C1" w:rsidRDefault="00C329D7" w:rsidP="00C329D7">
      <w:pPr>
        <w:pStyle w:val="divpkt"/>
        <w:rPr>
          <w:sz w:val="22"/>
          <w:szCs w:val="22"/>
        </w:rPr>
      </w:pPr>
      <w:r w:rsidRPr="005B46C1">
        <w:rPr>
          <w:b/>
          <w:bCs/>
          <w:sz w:val="22"/>
          <w:szCs w:val="22"/>
        </w:rPr>
        <w:t xml:space="preserve"> - </w:t>
      </w:r>
      <w:r w:rsidRPr="005B46C1">
        <w:rPr>
          <w:sz w:val="22"/>
          <w:szCs w:val="22"/>
        </w:rPr>
        <w:t xml:space="preserve"> Podróżni są również uprawnieni do otrzymania obniżki ceny lub rekompensaty za szkodę w przypadku niewykonania lub nienależytego wykonania usług turystycznych. </w:t>
      </w:r>
    </w:p>
    <w:p w14:paraId="33140A58" w14:textId="77777777" w:rsidR="00C329D7" w:rsidRPr="005B46C1" w:rsidRDefault="00C329D7" w:rsidP="00C329D7">
      <w:pPr>
        <w:pStyle w:val="divpkt"/>
        <w:rPr>
          <w:sz w:val="22"/>
          <w:szCs w:val="22"/>
        </w:rPr>
      </w:pPr>
      <w:r w:rsidRPr="005B46C1">
        <w:rPr>
          <w:b/>
          <w:bCs/>
          <w:sz w:val="22"/>
          <w:szCs w:val="22"/>
        </w:rPr>
        <w:t xml:space="preserve"> - </w:t>
      </w:r>
      <w:r w:rsidRPr="005B46C1">
        <w:rPr>
          <w:sz w:val="22"/>
          <w:szCs w:val="22"/>
        </w:rPr>
        <w:t xml:space="preserve"> Organizator turystyki musi zapewnić pomoc podróżnemu, który znajdzie się w trudnej sytuacji. </w:t>
      </w:r>
    </w:p>
    <w:p w14:paraId="019FFD4F" w14:textId="2E24198A" w:rsidR="00193CEB" w:rsidRPr="005B46C1" w:rsidRDefault="00C329D7" w:rsidP="00C329D7">
      <w:pPr>
        <w:pStyle w:val="divpkt"/>
        <w:rPr>
          <w:sz w:val="22"/>
          <w:szCs w:val="22"/>
        </w:rPr>
      </w:pPr>
      <w:r w:rsidRPr="005B46C1">
        <w:rPr>
          <w:b/>
          <w:bCs/>
          <w:sz w:val="22"/>
          <w:szCs w:val="22"/>
        </w:rPr>
        <w:t xml:space="preserve"> - </w:t>
      </w:r>
      <w:r w:rsidRPr="005B46C1">
        <w:rPr>
          <w:sz w:val="22"/>
          <w:szCs w:val="22"/>
        </w:rPr>
        <w:t xml:space="preserve"> W przypadku gdy organizator turystyki stanie się niewypłacalny, wpłaty zostaną zwrócone. Jeżeli organizator turystyki stanie się niewypłacalny po rozpoczęciu imprezy turystycznej i jeżeli impreza turystyczna obejmuje transport, zapewniony jest powrót podróżnych do kraju. </w:t>
      </w:r>
      <w:r w:rsidR="00D225F1" w:rsidRPr="005B46C1">
        <w:rPr>
          <w:rFonts w:ascii="Arial Narrow" w:eastAsia="Times New Roman" w:hAnsi="Arial Narrow" w:cs="Tahoma"/>
          <w:sz w:val="22"/>
          <w:szCs w:val="22"/>
        </w:rPr>
        <w:t>“AnDa”</w:t>
      </w:r>
      <w:r w:rsidR="00193CEB" w:rsidRPr="005B46C1">
        <w:rPr>
          <w:rStyle w:val="Pogrubienie"/>
          <w:rFonts w:ascii="Arial Narrow" w:hAnsi="Arial Narrow"/>
          <w:color w:val="FF0000"/>
          <w:sz w:val="22"/>
          <w:szCs w:val="22"/>
        </w:rPr>
        <w:t xml:space="preserve"> </w:t>
      </w:r>
      <w:r w:rsidRPr="005B46C1">
        <w:rPr>
          <w:sz w:val="22"/>
          <w:szCs w:val="22"/>
        </w:rPr>
        <w:t>wykupił</w:t>
      </w:r>
      <w:r w:rsidR="00423364" w:rsidRPr="005B46C1">
        <w:rPr>
          <w:sz w:val="22"/>
          <w:szCs w:val="22"/>
        </w:rPr>
        <w:t>a</w:t>
      </w:r>
      <w:r w:rsidRPr="005B46C1">
        <w:rPr>
          <w:sz w:val="22"/>
          <w:szCs w:val="22"/>
        </w:rPr>
        <w:t xml:space="preserve"> w</w:t>
      </w:r>
      <w:r w:rsidR="005B46C1" w:rsidRPr="005B46C1">
        <w:rPr>
          <w:sz w:val="22"/>
          <w:szCs w:val="22"/>
        </w:rPr>
        <w:t xml:space="preserve"> SIGNAL IDUNA Polskie Towarzystwo Ubezpieczeniowe S.A.</w:t>
      </w:r>
      <w:r w:rsidRPr="005B46C1">
        <w:rPr>
          <w:sz w:val="22"/>
          <w:szCs w:val="22"/>
        </w:rPr>
        <w:t xml:space="preserve"> zabezpieczenie na wypadek niewypłacalności. Podróżni mogą kontaktować się z</w:t>
      </w:r>
      <w:r w:rsidR="000C359D" w:rsidRPr="000C359D">
        <w:t xml:space="preserve"> </w:t>
      </w:r>
      <w:r w:rsidR="000C359D" w:rsidRPr="000C359D">
        <w:rPr>
          <w:sz w:val="22"/>
          <w:szCs w:val="22"/>
        </w:rPr>
        <w:t>Marszałk</w:t>
      </w:r>
      <w:r w:rsidR="006953A4">
        <w:rPr>
          <w:sz w:val="22"/>
          <w:szCs w:val="22"/>
        </w:rPr>
        <w:t>iem</w:t>
      </w:r>
      <w:r w:rsidR="000C359D" w:rsidRPr="000C359D">
        <w:rPr>
          <w:sz w:val="22"/>
          <w:szCs w:val="22"/>
        </w:rPr>
        <w:t xml:space="preserve"> Województwa Wielkopolskiego z siedzibą w Poznaniu (adres do korespondencji: Al. Niepodległości 34, 67-714 Poznań)</w:t>
      </w:r>
      <w:r w:rsidRPr="005B46C1">
        <w:rPr>
          <w:sz w:val="22"/>
          <w:szCs w:val="22"/>
        </w:rPr>
        <w:t xml:space="preserve">, jeżeli z powodu niewypłacalności </w:t>
      </w:r>
      <w:r w:rsidR="00D225F1" w:rsidRPr="005B46C1">
        <w:rPr>
          <w:rFonts w:ascii="Arial Narrow" w:eastAsia="Times New Roman" w:hAnsi="Arial Narrow" w:cs="Tahoma"/>
          <w:sz w:val="22"/>
          <w:szCs w:val="22"/>
        </w:rPr>
        <w:t>“AnDa”</w:t>
      </w:r>
      <w:r w:rsidR="00193CEB" w:rsidRPr="005B46C1">
        <w:rPr>
          <w:rStyle w:val="Pogrubienie"/>
          <w:rFonts w:ascii="Arial Narrow" w:hAnsi="Arial Narrow"/>
          <w:color w:val="FF0000"/>
          <w:sz w:val="22"/>
          <w:szCs w:val="22"/>
        </w:rPr>
        <w:t xml:space="preserve"> </w:t>
      </w:r>
      <w:r w:rsidRPr="005B46C1">
        <w:rPr>
          <w:sz w:val="22"/>
          <w:szCs w:val="22"/>
        </w:rPr>
        <w:t xml:space="preserve">dojdzie do odmowy świadczenia usług.  </w:t>
      </w:r>
    </w:p>
    <w:p w14:paraId="1ECE7149" w14:textId="44B34DA9" w:rsidR="00193CEB" w:rsidRPr="005B46C1" w:rsidRDefault="00193CEB" w:rsidP="00193CEB">
      <w:pPr>
        <w:pStyle w:val="divpkt"/>
        <w:spacing w:line="240" w:lineRule="auto"/>
        <w:ind w:left="0"/>
        <w:jc w:val="center"/>
        <w:rPr>
          <w:rFonts w:ascii="Arial Narrow" w:hAnsi="Arial Narrow" w:cs="Times New Roman"/>
          <w:color w:val="auto"/>
          <w:sz w:val="22"/>
          <w:szCs w:val="22"/>
        </w:rPr>
      </w:pPr>
      <w:r w:rsidRPr="005B46C1">
        <w:rPr>
          <w:rFonts w:ascii="Arial" w:hAnsi="Arial" w:cs="Arial"/>
          <w:sz w:val="22"/>
          <w:szCs w:val="22"/>
        </w:rPr>
        <w:t xml:space="preserve">Strona internetowa, na której można znaleźć </w:t>
      </w:r>
      <w:r w:rsidRPr="005B46C1">
        <w:rPr>
          <w:rFonts w:ascii="Arial Narrow" w:hAnsi="Arial Narrow"/>
          <w:sz w:val="22"/>
          <w:szCs w:val="22"/>
        </w:rPr>
        <w:t xml:space="preserve">Dyrektywę (UE) 2015/2302: </w:t>
      </w:r>
      <w:hyperlink r:id="rId4" w:history="1">
        <w:r w:rsidRPr="005B46C1">
          <w:rPr>
            <w:rStyle w:val="Hipercze"/>
            <w:rFonts w:ascii="Arial Narrow" w:hAnsi="Arial Narrow"/>
            <w:sz w:val="22"/>
            <w:szCs w:val="22"/>
          </w:rPr>
          <w:t>https://eur-lex.europa.eu/legal-content/PL/TXT/?uri=CELEX%3A32015L2302</w:t>
        </w:r>
      </w:hyperlink>
      <w:r w:rsidRPr="005B46C1">
        <w:rPr>
          <w:rFonts w:ascii="Arial Narrow" w:hAnsi="Arial Narrow"/>
          <w:sz w:val="22"/>
          <w:szCs w:val="22"/>
        </w:rPr>
        <w:t xml:space="preserve">] przetransponowaną do prawa krajowego: </w:t>
      </w:r>
      <w:hyperlink r:id="rId5" w:history="1">
        <w:r w:rsidRPr="005B46C1">
          <w:rPr>
            <w:rStyle w:val="Hipercze"/>
            <w:rFonts w:ascii="Arial Narrow" w:hAnsi="Arial Narrow"/>
            <w:sz w:val="22"/>
            <w:szCs w:val="22"/>
          </w:rPr>
          <w:t>http://prawo.sejm.gov.pl/isap.nsf/download.xsp/WDU20170002361/U/D20172361Lj.pdf</w:t>
        </w:r>
      </w:hyperlink>
      <w:r w:rsidRPr="005B46C1">
        <w:rPr>
          <w:rFonts w:ascii="Arial Narrow" w:hAnsi="Arial Narrow"/>
          <w:sz w:val="22"/>
          <w:szCs w:val="22"/>
        </w:rPr>
        <w:t>].</w:t>
      </w:r>
    </w:p>
    <w:p w14:paraId="70DCB989" w14:textId="77777777" w:rsidR="00193CEB" w:rsidRPr="00FC441B" w:rsidRDefault="00193CEB" w:rsidP="00193CEB">
      <w:pPr>
        <w:spacing w:line="240" w:lineRule="auto"/>
        <w:rPr>
          <w:rFonts w:ascii="Arial Narrow" w:hAnsi="Arial Narrow" w:cs="Times New Roman"/>
          <w:color w:val="auto"/>
          <w:sz w:val="22"/>
          <w:szCs w:val="22"/>
        </w:rPr>
      </w:pPr>
    </w:p>
    <w:p w14:paraId="4E49FF6B" w14:textId="77777777" w:rsidR="00193CEB" w:rsidRDefault="00193CEB" w:rsidP="00193CEB">
      <w:pPr>
        <w:pStyle w:val="divpkt"/>
        <w:jc w:val="center"/>
      </w:pPr>
    </w:p>
    <w:p w14:paraId="4ACB0DA4" w14:textId="77777777" w:rsidR="002D39D9" w:rsidRDefault="002D39D9"/>
    <w:sectPr w:rsidR="002D39D9" w:rsidSect="005B46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D10"/>
    <w:rsid w:val="000C359D"/>
    <w:rsid w:val="00193CEB"/>
    <w:rsid w:val="002D39D9"/>
    <w:rsid w:val="00311197"/>
    <w:rsid w:val="00423364"/>
    <w:rsid w:val="005B46C1"/>
    <w:rsid w:val="005C0BAE"/>
    <w:rsid w:val="006953A4"/>
    <w:rsid w:val="00870671"/>
    <w:rsid w:val="00876064"/>
    <w:rsid w:val="00BA1650"/>
    <w:rsid w:val="00C329D7"/>
    <w:rsid w:val="00C90870"/>
    <w:rsid w:val="00D225F1"/>
    <w:rsid w:val="00D65D10"/>
    <w:rsid w:val="00FB491E"/>
    <w:rsid w:val="00FF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9E4F8"/>
  <w15:chartTrackingRefBased/>
  <w15:docId w15:val="{5C87FD4C-21A6-4CA4-B0D2-C9250957E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29D7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parinner">
    <w:name w:val="p.parinner"/>
    <w:uiPriority w:val="99"/>
    <w:rsid w:val="00C329D7"/>
    <w:pPr>
      <w:widowControl w:val="0"/>
      <w:autoSpaceDE w:val="0"/>
      <w:autoSpaceDN w:val="0"/>
      <w:adjustRightInd w:val="0"/>
      <w:spacing w:before="40" w:after="4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C329D7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1chapter">
    <w:name w:val="h1.chapter"/>
    <w:uiPriority w:val="99"/>
    <w:rsid w:val="00C329D7"/>
    <w:pPr>
      <w:widowControl w:val="0"/>
      <w:autoSpaceDE w:val="0"/>
      <w:autoSpaceDN w:val="0"/>
      <w:adjustRightInd w:val="0"/>
      <w:spacing w:before="180" w:after="0" w:line="18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C9087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0870"/>
    <w:rPr>
      <w:color w:val="605E5C"/>
      <w:shd w:val="clear" w:color="auto" w:fill="E1DFDD"/>
    </w:rPr>
  </w:style>
  <w:style w:type="character" w:styleId="Pogrubienie">
    <w:name w:val="Strong"/>
    <w:basedOn w:val="Domylnaczcionkaakapitu"/>
    <w:qFormat/>
    <w:rsid w:val="004233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2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wo.sejm.gov.pl/isap.nsf/download.xsp/WDU20170002361/U/D20172361Lj.pdf" TargetMode="External"/><Relationship Id="rId4" Type="http://schemas.openxmlformats.org/officeDocument/2006/relationships/hyperlink" Target="https://eur-lex.europa.eu/legal-content/PL/TXT/?uri=CELEX%3A32015L230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647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Bartosz Bajon</cp:lastModifiedBy>
  <cp:revision>4</cp:revision>
  <dcterms:created xsi:type="dcterms:W3CDTF">2020-11-17T18:34:00Z</dcterms:created>
  <dcterms:modified xsi:type="dcterms:W3CDTF">2021-05-17T16:55:00Z</dcterms:modified>
</cp:coreProperties>
</file>